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4</w:t>
      </w:r>
      <w:r>
        <w:rPr>
          <w:rFonts w:ascii="Arial" w:hAnsi="Arial" w:cs="Arial"/>
          <w:b/>
          <w:sz w:val="24"/>
          <w:szCs w:val="24"/>
        </w:rPr>
        <w:t>-e</w:t>
      </w:r>
      <w:r>
        <w:rPr>
          <w:rFonts w:hint="eastAsia" w:ascii="Arial" w:hAnsi="Arial" w:cs="Arial"/>
          <w:b/>
          <w:sz w:val="24"/>
          <w:szCs w:val="24"/>
        </w:rPr>
        <w:t xml:space="preserve">                               R4-2213689                          </w:t>
      </w:r>
    </w:p>
    <w:p>
      <w:pPr>
        <w:tabs>
          <w:tab w:val="left" w:pos="1985"/>
        </w:tabs>
        <w:spacing w:after="180"/>
        <w:ind w:left="1980" w:hanging="1980"/>
        <w:rPr>
          <w:rFonts w:ascii="Arial" w:hAnsi="Arial" w:cs="Arial"/>
          <w:b/>
          <w:sz w:val="24"/>
          <w:szCs w:val="24"/>
        </w:rPr>
      </w:pPr>
      <w:r>
        <w:rPr>
          <w:rFonts w:hint="eastAsia" w:ascii="Arial" w:hAnsi="Arial" w:eastAsia="MS Mincho" w:cs="Arial"/>
          <w:b/>
          <w:sz w:val="24"/>
          <w:szCs w:val="24"/>
          <w:lang w:eastAsia="en-US"/>
        </w:rPr>
        <w:t>E-meeting,</w:t>
      </w:r>
      <w:r>
        <w:rPr>
          <w:rFonts w:hint="eastAsia" w:ascii="Arial" w:hAnsi="Arial" w:cs="Arial"/>
          <w:b/>
          <w:sz w:val="24"/>
          <w:szCs w:val="24"/>
        </w:rPr>
        <w:t>15</w:t>
      </w:r>
      <w:r>
        <w:rPr>
          <w:rFonts w:hint="eastAsia" w:ascii="Arial" w:hAnsi="Arial" w:cs="Arial"/>
          <w:b/>
          <w:sz w:val="24"/>
          <w:szCs w:val="24"/>
          <w:vertAlign w:val="superscript"/>
        </w:rPr>
        <w:t>th</w:t>
      </w:r>
      <w:r>
        <w:rPr>
          <w:rFonts w:hint="eastAsia" w:ascii="Arial" w:hAnsi="Arial" w:eastAsia="MS Mincho" w:cs="Arial"/>
          <w:b/>
          <w:sz w:val="24"/>
          <w:szCs w:val="24"/>
          <w:lang w:eastAsia="en-US"/>
        </w:rPr>
        <w:t xml:space="preserve"> </w:t>
      </w:r>
      <w:r>
        <w:rPr>
          <w:rFonts w:hint="eastAsia" w:ascii="Arial" w:hAnsi="Arial" w:cs="Arial"/>
          <w:b/>
          <w:sz w:val="24"/>
          <w:szCs w:val="24"/>
        </w:rPr>
        <w:t>Aug</w:t>
      </w:r>
      <w:r>
        <w:rPr>
          <w:rFonts w:ascii="Arial" w:hAnsi="Arial" w:cs="Arial"/>
          <w:b/>
          <w:bCs/>
          <w:sz w:val="24"/>
          <w:szCs w:val="24"/>
        </w:rPr>
        <w:t xml:space="preserve"> – </w:t>
      </w:r>
      <w:r>
        <w:rPr>
          <w:rFonts w:hint="eastAsia" w:ascii="Arial" w:hAnsi="Arial" w:cs="Arial"/>
          <w:b/>
          <w:bCs/>
          <w:sz w:val="24"/>
          <w:szCs w:val="24"/>
        </w:rPr>
        <w:t>26</w:t>
      </w:r>
      <w:r>
        <w:rPr>
          <w:rFonts w:hint="eastAsia" w:ascii="Arial" w:hAnsi="Arial" w:cs="Arial"/>
          <w:b/>
          <w:bCs/>
          <w:sz w:val="24"/>
          <w:szCs w:val="24"/>
          <w:vertAlign w:val="superscript"/>
        </w:rPr>
        <w:t>th</w:t>
      </w:r>
      <w:r>
        <w:rPr>
          <w:rFonts w:ascii="Arial" w:hAnsi="Arial" w:cs="Arial"/>
          <w:b/>
          <w:bCs/>
          <w:sz w:val="24"/>
          <w:szCs w:val="24"/>
        </w:rPr>
        <w:t xml:space="preserve"> </w:t>
      </w:r>
      <w:r>
        <w:rPr>
          <w:rFonts w:hint="eastAsia" w:ascii="Arial" w:hAnsi="Arial" w:cs="Arial"/>
          <w:b/>
          <w:bCs/>
          <w:sz w:val="24"/>
          <w:szCs w:val="24"/>
        </w:rPr>
        <w:t>Aug,</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2</w:t>
      </w:r>
      <w:bookmarkStart w:id="5" w:name="_GoBack"/>
      <w:bookmarkEnd w:id="5"/>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14</w:t>
      </w:r>
      <w:r>
        <w:rPr>
          <w:rFonts w:hint="eastAsia" w:ascii="Arial" w:hAnsi="Arial" w:cs="Arial"/>
          <w:b/>
          <w:sz w:val="24"/>
          <w:szCs w:val="24"/>
        </w:rPr>
        <w:t>.</w:t>
      </w:r>
      <w:r>
        <w:rPr>
          <w:rFonts w:hint="eastAsia" w:ascii="Arial" w:hAnsi="Arial" w:cs="Arial"/>
          <w:b/>
          <w:sz w:val="24"/>
          <w:szCs w:val="24"/>
          <w:lang w:val="en-US" w:eastAsia="zh-CN"/>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carrier phase based positioning</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2"/>
        <w:tabs>
          <w:tab w:val="left" w:pos="567"/>
          <w:tab w:val="clear" w:pos="1985"/>
        </w:tabs>
        <w:adjustRightInd w:val="0"/>
        <w:ind w:left="510" w:hanging="510"/>
      </w:pPr>
      <w:r>
        <w:t>Introduction</w:t>
      </w:r>
    </w:p>
    <w:p>
      <w:pPr>
        <w:pBdr>
          <w:bottom w:val="single" w:color="auto" w:sz="4" w:space="0"/>
        </w:pBdr>
        <w:tabs>
          <w:tab w:val="left" w:pos="2127"/>
        </w:tabs>
        <w:outlineLvl w:val="9"/>
      </w:pPr>
      <w:r>
        <w:rPr>
          <w:rFonts w:hint="eastAsia"/>
        </w:rPr>
        <w:t>In RAN#94e meeting, one study item [RP-213588] on expanded and improved NR positioning was approved as one of Rel-18 RAN package which is led by RAN1 and it was further updated in [RP-221814] during the latest RAN#96 meeting. In this SID, RAN1 and RAN4 is tasked to study</w:t>
      </w:r>
      <w:r>
        <w:rPr>
          <w:bCs/>
        </w:rPr>
        <w:t xml:space="preserve"> solutions for accuracy improvement based on NR carrier phase measurements</w:t>
      </w:r>
      <w:r>
        <w:rPr>
          <w:rFonts w:hint="eastAsia"/>
        </w:rPr>
        <w:t>. In this contribution, we want to share some initial understandings from RAN4 perspective.</w:t>
      </w:r>
    </w:p>
    <w:p>
      <w:pPr>
        <w:numPr>
          <w:ilvl w:val="1"/>
          <w:numId w:val="2"/>
        </w:numPr>
      </w:pPr>
      <w:r>
        <w:rPr>
          <w:bCs/>
        </w:rPr>
        <w:t xml:space="preserve">Study solutions for accuracy improvement based on PRS/SRS bandwidth aggregation for </w:t>
      </w:r>
      <w:r>
        <w:rPr>
          <w:bCs/>
          <w:highlight w:val="cyan"/>
        </w:rPr>
        <w:t>intra-band carriers</w:t>
      </w:r>
      <w:r>
        <w:rPr>
          <w:bCs/>
        </w:rPr>
        <w:t xml:space="preserve"> considering e.g. timing errors, phase coherency, frequency errors, power imbalance, etc [RAN4]:</w:t>
      </w:r>
    </w:p>
    <w:p>
      <w:pPr>
        <w:numPr>
          <w:ilvl w:val="1"/>
          <w:numId w:val="2"/>
        </w:numPr>
        <w:rPr>
          <w:bCs/>
        </w:rPr>
      </w:pPr>
      <w:r>
        <w:rPr>
          <w:bCs/>
        </w:rPr>
        <w:t>Study solutions for accuracy improvement based on NR carrier phase measurements [RAN1, RAN4]</w:t>
      </w:r>
    </w:p>
    <w:p>
      <w:pPr>
        <w:numPr>
          <w:ilvl w:val="2"/>
          <w:numId w:val="2"/>
        </w:numPr>
        <w:rPr>
          <w:bCs/>
        </w:rPr>
      </w:pPr>
      <w:r>
        <w:rPr>
          <w:bCs/>
        </w:rPr>
        <w:t>Reference signals, physical layer measurements, physical layer procedures to enable positioning based on NR carrier phase measurements for both UE-based and UE-assisted positioning [RAN1]</w:t>
      </w:r>
    </w:p>
    <w:p>
      <w:pPr>
        <w:numPr>
          <w:ilvl w:val="2"/>
          <w:numId w:val="2"/>
        </w:numPr>
      </w:pPr>
      <w:r>
        <w:rPr>
          <w:bCs/>
        </w:rPr>
        <w:t>Focus on reuse of existing PRS and SRS, with new reference signals only considered if found necessary</w:t>
      </w:r>
      <w:r>
        <w:rPr>
          <w:rFonts w:hint="eastAsia"/>
          <w:bCs/>
        </w:rPr>
        <w:t>.</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0"/>
      <w:bookmarkStart w:id="4" w:name="OLE_LINK13"/>
      <w:r>
        <w:rPr>
          <w:rFonts w:hint="eastAsia" w:eastAsia="Times New Roman"/>
        </w:rPr>
        <w:t xml:space="preserve"> </w:t>
      </w:r>
    </w:p>
    <w:p>
      <w:pPr>
        <w:autoSpaceDE/>
        <w:autoSpaceDN/>
        <w:adjustRightInd/>
        <w:snapToGrid/>
        <w:spacing w:before="0" w:beforeLines="-2147483648" w:after="0" w:afterLines="-2147483648"/>
        <w:jc w:val="left"/>
      </w:pPr>
      <w:r>
        <w:rPr>
          <w:rFonts w:hint="eastAsia"/>
        </w:rPr>
        <w:t>For the carrier phase based positioning, it could be expected that the phase assumption of TRP would directly have impacts on the positioning performance at UE side. For the practical TRP node</w:t>
      </w:r>
      <w:r>
        <w:rPr>
          <w:sz w:val="20"/>
          <w:szCs w:val="20"/>
        </w:rPr>
        <w:t>, the carrier phase</w:t>
      </w:r>
      <w:r>
        <w:rPr>
          <w:rFonts w:hint="eastAsia"/>
          <w:sz w:val="20"/>
          <w:szCs w:val="20"/>
        </w:rPr>
        <w:t xml:space="preserve"> or timing of the specific TRP or BS</w:t>
      </w:r>
      <w:r>
        <w:rPr>
          <w:sz w:val="20"/>
          <w:szCs w:val="20"/>
        </w:rPr>
        <w:t xml:space="preserve"> will be affected by many factors (such as</w:t>
      </w:r>
      <w:r>
        <w:rPr>
          <w:rFonts w:hint="eastAsia"/>
          <w:sz w:val="20"/>
          <w:szCs w:val="20"/>
        </w:rPr>
        <w:t xml:space="preserve"> sync signal quality, internal interface delay uncertainty</w:t>
      </w:r>
      <w:r>
        <w:rPr>
          <w:sz w:val="20"/>
          <w:szCs w:val="20"/>
        </w:rPr>
        <w:t xml:space="preserve">, </w:t>
      </w:r>
      <w:r>
        <w:rPr>
          <w:rFonts w:hint="eastAsia"/>
          <w:sz w:val="20"/>
          <w:szCs w:val="20"/>
        </w:rPr>
        <w:t>clock module jitter, sampling rate and the stability of the components</w:t>
      </w:r>
      <w:r>
        <w:rPr>
          <w:sz w:val="20"/>
          <w:szCs w:val="20"/>
        </w:rPr>
        <w:t xml:space="preserve">). </w:t>
      </w:r>
      <w:r>
        <w:rPr>
          <w:rFonts w:hint="eastAsia"/>
          <w:sz w:val="20"/>
          <w:szCs w:val="20"/>
        </w:rPr>
        <w:t xml:space="preserve">If there is not calibration process for different TRP or BS, then the phase error has to </w:t>
      </w:r>
      <w:r>
        <w:rPr>
          <w:sz w:val="20"/>
          <w:szCs w:val="20"/>
        </w:rPr>
        <w:t xml:space="preserve">be </w:t>
      </w:r>
      <w:r>
        <w:rPr>
          <w:rFonts w:hint="eastAsia"/>
          <w:sz w:val="20"/>
          <w:szCs w:val="20"/>
        </w:rPr>
        <w:t xml:space="preserve">considered for phase based positioning. Even with calibration process among the serving TRPs, there would be still residual phase errors among different TRPs. </w:t>
      </w:r>
      <w:r>
        <w:drawing>
          <wp:inline distT="0" distB="0" distL="114300" distR="114300">
            <wp:extent cx="5389245" cy="1198880"/>
            <wp:effectExtent l="0" t="0" r="5715" b="508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5389245" cy="1198880"/>
                    </a:xfrm>
                    <a:prstGeom prst="rect">
                      <a:avLst/>
                    </a:prstGeom>
                  </pic:spPr>
                </pic:pic>
              </a:graphicData>
            </a:graphic>
          </wp:inline>
        </w:drawing>
      </w:r>
    </w:p>
    <w:p>
      <w:pPr>
        <w:autoSpaceDE/>
        <w:autoSpaceDN/>
        <w:adjustRightInd/>
        <w:snapToGrid/>
        <w:spacing w:before="0" w:beforeLines="-2147483648" w:after="0" w:afterLines="-2147483648"/>
        <w:jc w:val="center"/>
      </w:pPr>
      <w:r>
        <w:rPr>
          <w:rFonts w:hint="eastAsia"/>
        </w:rPr>
        <w:t xml:space="preserve">Figure 1. </w:t>
      </w:r>
      <w:r>
        <w:t>I</w:t>
      </w:r>
      <w:r>
        <w:rPr>
          <w:rFonts w:hint="eastAsia"/>
        </w:rPr>
        <w:t>llustration of BS/TRP</w:t>
      </w:r>
      <w:r>
        <w:t>’</w:t>
      </w:r>
      <w:r>
        <w:rPr>
          <w:rFonts w:hint="eastAsia"/>
        </w:rPr>
        <w:t xml:space="preserve">s hardware framework </w:t>
      </w:r>
    </w:p>
    <w:p>
      <w:pPr>
        <w:autoSpaceDE/>
        <w:autoSpaceDN/>
        <w:adjustRightInd/>
        <w:snapToGrid/>
        <w:spacing w:before="0" w:beforeLines="-2147483648" w:after="0" w:afterLines="-2147483648"/>
        <w:rPr>
          <w:sz w:val="20"/>
          <w:szCs w:val="20"/>
        </w:rPr>
      </w:pPr>
      <w:r>
        <w:rPr>
          <w:rFonts w:hint="eastAsia"/>
          <w:sz w:val="20"/>
          <w:szCs w:val="20"/>
        </w:rPr>
        <w:t>In the following section, we will provide some initial analysis how the carrier phase error of TRP transmitter have the impacts on the positioning accuracy.</w:t>
      </w:r>
    </w:p>
    <w:p>
      <w:pPr>
        <w:autoSpaceDE/>
        <w:autoSpaceDN/>
        <w:adjustRightInd/>
        <w:snapToGrid/>
        <w:spacing w:before="0" w:beforeLines="-2147483648" w:after="0" w:afterLines="-2147483648"/>
        <w:rPr>
          <w:sz w:val="20"/>
          <w:szCs w:val="20"/>
        </w:rPr>
      </w:pPr>
      <w:r>
        <w:rPr>
          <w:rFonts w:hint="eastAsia"/>
          <w:sz w:val="20"/>
          <w:szCs w:val="20"/>
        </w:rPr>
        <w:t>T</w:t>
      </w:r>
      <w:r>
        <w:rPr>
          <w:sz w:val="20"/>
          <w:szCs w:val="20"/>
        </w:rPr>
        <w:t>he carrier phase error</w:t>
      </w:r>
      <w:r>
        <w:rPr>
          <w:rFonts w:hint="eastAsia"/>
          <w:sz w:val="20"/>
          <w:szCs w:val="20"/>
        </w:rPr>
        <w:t xml:space="preserve"> is modeled as following:</w:t>
      </w:r>
    </w:p>
    <w:p>
      <w:pPr>
        <w:wordWrap w:val="0"/>
        <w:autoSpaceDE w:val="0"/>
        <w:autoSpaceDN w:val="0"/>
        <w:adjustRightInd w:val="0"/>
        <w:snapToGrid w:val="0"/>
        <w:spacing w:before="156" w:beforeLines="50" w:after="156" w:afterLines="50"/>
        <w:jc w:val="right"/>
        <w:rPr>
          <w:sz w:val="20"/>
          <w:szCs w:val="20"/>
        </w:rPr>
      </w:pPr>
      <m:oMath>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T</m:t>
            </m:r>
            <m:ctrlPr>
              <w:rPr>
                <w:rFonts w:ascii="Cambria Math" w:hAnsi="Cambria Math"/>
                <w:sz w:val="20"/>
                <w:szCs w:val="20"/>
              </w:rPr>
            </m:ctrlP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Φ</m:t>
            </m:r>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error</m:t>
                </m:r>
                <m:ctrlPr>
                  <w:rPr>
                    <w:rFonts w:ascii="Cambria Math" w:hAnsi="Cambria Math"/>
                    <w:sz w:val="20"/>
                    <w:szCs w:val="20"/>
                  </w:rPr>
                </m:ctrlPr>
              </m:sub>
            </m:sSub>
            <m:ctrlPr>
              <w:rPr>
                <w:rFonts w:ascii="Cambria Math" w:hAnsi="Cambria Math"/>
                <w:i/>
                <w:sz w:val="20"/>
                <w:szCs w:val="20"/>
              </w:rPr>
            </m:ctrlPr>
          </m:e>
        </m:d>
        <m:r>
          <w:rPr>
            <w:rFonts w:ascii="Cambria Math" w:hAnsi="Cambria Math"/>
            <w:sz w:val="20"/>
            <w:szCs w:val="20"/>
          </w:rPr>
          <m:t>mod 1.0</m:t>
        </m:r>
      </m:oMath>
      <w:r>
        <w:rPr>
          <w:sz w:val="20"/>
          <w:szCs w:val="20"/>
        </w:rPr>
        <w:t xml:space="preserve">                              (Equ. 1)</w:t>
      </w:r>
    </w:p>
    <w:p>
      <w:pPr>
        <w:autoSpaceDE w:val="0"/>
        <w:autoSpaceDN w:val="0"/>
        <w:adjustRightInd w:val="0"/>
        <w:snapToGrid w:val="0"/>
        <w:spacing w:before="156" w:beforeLines="50" w:after="156" w:afterLines="50"/>
        <w:rPr>
          <w:sz w:val="20"/>
          <w:szCs w:val="20"/>
        </w:rPr>
      </w:pPr>
      <w:r>
        <w:rPr>
          <w:sz w:val="20"/>
          <w:szCs w:val="20"/>
        </w:rPr>
        <w:t xml:space="preserve">where </w:t>
      </w:r>
      <m:oMath>
        <m:sSub>
          <m:sSubPr>
            <m:ctrlPr>
              <w:rPr>
                <w:rFonts w:ascii="Cambria Math" w:hAnsi="Cambria Math"/>
                <w:sz w:val="20"/>
                <w:szCs w:val="20"/>
              </w:rPr>
            </m:ctrlPr>
          </m:sSubPr>
          <m:e>
            <m:r>
              <m:rPr>
                <m:sty m:val="p"/>
              </m:rPr>
              <w:rPr>
                <w:rFonts w:hint="eastAsia" w:ascii="Cambria Math" w:hAnsi="Cambria Math"/>
                <w:sz w:val="20"/>
                <w:szCs w:val="20"/>
              </w:rPr>
              <m:t>Φ</m:t>
            </m:r>
            <m:ctrlPr>
              <w:rPr>
                <w:rFonts w:ascii="Cambria Math" w:hAnsi="Cambria Math"/>
                <w:sz w:val="20"/>
                <w:szCs w:val="20"/>
              </w:rPr>
            </m:ctrlPr>
          </m:e>
          <m:sub>
            <m:r>
              <w:rPr>
                <w:rFonts w:hint="eastAsia" w:ascii="Cambria Math" w:hAnsi="Cambria Math"/>
                <w:sz w:val="20"/>
                <w:szCs w:val="20"/>
              </w:rPr>
              <m:t>T</m:t>
            </m:r>
            <m:ctrlPr>
              <w:rPr>
                <w:rFonts w:ascii="Cambria Math" w:hAnsi="Cambria Math"/>
                <w:sz w:val="20"/>
                <w:szCs w:val="20"/>
              </w:rPr>
            </m:ctrlPr>
          </m:sub>
        </m:sSub>
      </m:oMath>
      <w:r>
        <w:rPr>
          <w:sz w:val="20"/>
          <w:szCs w:val="20"/>
        </w:rPr>
        <w:t xml:space="preserve"> is the</w:t>
      </w:r>
      <w:r>
        <w:rPr>
          <w:rFonts w:hint="eastAsia"/>
          <w:sz w:val="20"/>
          <w:szCs w:val="20"/>
        </w:rPr>
        <w:t xml:space="preserve"> practical</w:t>
      </w:r>
      <w:r>
        <w:rPr>
          <w:sz w:val="20"/>
          <w:szCs w:val="20"/>
        </w:rPr>
        <w:t xml:space="preserve"> transmit</w:t>
      </w:r>
      <w:r>
        <w:rPr>
          <w:rFonts w:hint="eastAsia"/>
          <w:sz w:val="20"/>
          <w:szCs w:val="20"/>
        </w:rPr>
        <w:t>ted signal</w:t>
      </w:r>
      <w:r>
        <w:rPr>
          <w:sz w:val="20"/>
          <w:szCs w:val="20"/>
        </w:rPr>
        <w:t xml:space="preserve"> phase </w:t>
      </w:r>
      <w:r>
        <w:rPr>
          <w:rFonts w:hint="eastAsia"/>
          <w:sz w:val="20"/>
          <w:szCs w:val="20"/>
        </w:rPr>
        <w:t>within range of</w:t>
      </w:r>
      <w:r>
        <w:rPr>
          <w:sz w:val="20"/>
          <w:szCs w:val="20"/>
          <w:highlight w:val="none"/>
        </w:rPr>
        <w:t xml:space="preserve"> 0 </w:t>
      </w:r>
      <w:r>
        <w:rPr>
          <w:rFonts w:hint="eastAsia"/>
          <w:sz w:val="20"/>
          <w:szCs w:val="20"/>
        </w:rPr>
        <w:t>to</w:t>
      </w:r>
      <w:r>
        <w:rPr>
          <w:sz w:val="20"/>
          <w:szCs w:val="20"/>
          <w:highlight w:val="none"/>
        </w:rPr>
        <w:t xml:space="preserve"> 1.0</w:t>
      </w:r>
      <w:r>
        <w:rPr>
          <w:sz w:val="20"/>
          <w:szCs w:val="20"/>
        </w:rPr>
        <w:t xml:space="preserve">, </w:t>
      </w:r>
      <m:oMath>
        <m:r>
          <m:rPr>
            <m:sty m:val="p"/>
          </m:rPr>
          <w:rPr>
            <w:rFonts w:hint="eastAsia" w:ascii="Cambria Math" w:hAnsi="Cambria Math"/>
            <w:sz w:val="20"/>
            <w:szCs w:val="20"/>
          </w:rPr>
          <m:t>Φ</m:t>
        </m:r>
      </m:oMath>
      <w:r>
        <w:rPr>
          <w:sz w:val="20"/>
          <w:szCs w:val="20"/>
        </w:rPr>
        <w:t xml:space="preserve"> is the </w:t>
      </w:r>
      <w:r>
        <w:rPr>
          <w:rFonts w:hint="eastAsia"/>
          <w:sz w:val="20"/>
          <w:szCs w:val="20"/>
        </w:rPr>
        <w:t>ideal</w:t>
      </w:r>
      <w:r>
        <w:rPr>
          <w:sz w:val="20"/>
          <w:szCs w:val="20"/>
        </w:rPr>
        <w:t xml:space="preserve"> phase </w:t>
      </w:r>
      <w:r>
        <w:rPr>
          <w:rFonts w:hint="eastAsia"/>
          <w:sz w:val="20"/>
          <w:szCs w:val="20"/>
        </w:rPr>
        <w:t>which is determined</w:t>
      </w:r>
      <w:r>
        <w:rPr>
          <w:sz w:val="20"/>
          <w:szCs w:val="20"/>
        </w:rPr>
        <w:t xml:space="preserve"> by the distance between UE and TRP in the LOS channel condition </w:t>
      </w:r>
      <w:r>
        <w:rPr>
          <w:rFonts w:hint="eastAsia"/>
          <w:sz w:val="20"/>
          <w:szCs w:val="20"/>
        </w:rPr>
        <w:t xml:space="preserve">within the range of </w:t>
      </w:r>
      <w:r>
        <w:rPr>
          <w:sz w:val="20"/>
          <w:szCs w:val="20"/>
        </w:rPr>
        <w:t xml:space="preserve">0 </w:t>
      </w:r>
      <w:r>
        <w:rPr>
          <w:rFonts w:hint="eastAsia"/>
          <w:sz w:val="20"/>
          <w:szCs w:val="20"/>
        </w:rPr>
        <w:t>to</w:t>
      </w:r>
      <w:r>
        <w:rPr>
          <w:sz w:val="20"/>
          <w:szCs w:val="20"/>
        </w:rPr>
        <w:t xml:space="preserve"> 1.0, and </w:t>
      </w:r>
      <m:oMath>
        <m:sSub>
          <m:sSubPr>
            <m:ctrlPr>
              <w:rPr>
                <w:rFonts w:ascii="Cambria Math" w:hAnsi="Cambria Math"/>
                <w:sz w:val="20"/>
                <w:szCs w:val="20"/>
              </w:rPr>
            </m:ctrlPr>
          </m:sSubPr>
          <m:e>
            <m:r>
              <m:rPr>
                <m:sty m:val="p"/>
              </m:rPr>
              <w:rPr>
                <w:rFonts w:hint="eastAsia" w:ascii="Cambria Math" w:hAnsi="Cambria Math"/>
                <w:sz w:val="20"/>
                <w:szCs w:val="20"/>
              </w:rPr>
              <m:t>Φ</m:t>
            </m:r>
            <m:ctrlPr>
              <w:rPr>
                <w:rFonts w:ascii="Cambria Math" w:hAnsi="Cambria Math"/>
                <w:sz w:val="20"/>
                <w:szCs w:val="20"/>
              </w:rPr>
            </m:ctrlPr>
          </m:e>
          <m:sub>
            <m:r>
              <w:rPr>
                <w:rFonts w:hint="eastAsia" w:ascii="Cambria Math" w:hAnsi="Cambria Math"/>
                <w:sz w:val="20"/>
                <w:szCs w:val="20"/>
              </w:rPr>
              <m:t>error</m:t>
            </m:r>
            <m:ctrlPr>
              <w:rPr>
                <w:rFonts w:ascii="Cambria Math" w:hAnsi="Cambria Math"/>
                <w:sz w:val="20"/>
                <w:szCs w:val="20"/>
              </w:rPr>
            </m:ctrlPr>
          </m:sub>
        </m:sSub>
        <m:r>
          <w:rPr>
            <w:rFonts w:hint="eastAsia" w:ascii="Cambria Math" w:hAnsi="Cambria Math"/>
            <w:sz w:val="20"/>
            <w:szCs w:val="20"/>
          </w:rPr>
          <m:t xml:space="preserve"> </m:t>
        </m:r>
      </m:oMath>
      <w:r>
        <w:rPr>
          <w:sz w:val="20"/>
          <w:szCs w:val="20"/>
        </w:rPr>
        <w:t xml:space="preserve">is </w:t>
      </w:r>
      <w:r>
        <w:rPr>
          <w:rFonts w:hint="eastAsia"/>
          <w:sz w:val="20"/>
          <w:szCs w:val="20"/>
        </w:rPr>
        <w:t>the</w:t>
      </w:r>
      <w:r>
        <w:rPr>
          <w:sz w:val="20"/>
          <w:szCs w:val="20"/>
        </w:rPr>
        <w:t xml:space="preserve"> initial </w:t>
      </w:r>
      <w:r>
        <w:rPr>
          <w:rFonts w:hint="eastAsia"/>
          <w:sz w:val="20"/>
          <w:szCs w:val="20"/>
        </w:rPr>
        <w:t xml:space="preserve">random </w:t>
      </w:r>
      <w:r>
        <w:rPr>
          <w:sz w:val="20"/>
          <w:szCs w:val="20"/>
        </w:rPr>
        <w:t>phase</w:t>
      </w:r>
      <w:r>
        <w:rPr>
          <w:rFonts w:hint="eastAsia"/>
          <w:sz w:val="20"/>
          <w:szCs w:val="20"/>
        </w:rPr>
        <w:t xml:space="preserve"> error</w:t>
      </w:r>
      <w:r>
        <w:rPr>
          <w:sz w:val="20"/>
          <w:szCs w:val="20"/>
        </w:rPr>
        <w:t xml:space="preserve"> with</w:t>
      </w:r>
      <w:r>
        <w:rPr>
          <w:rFonts w:hint="eastAsia"/>
          <w:sz w:val="20"/>
          <w:szCs w:val="20"/>
        </w:rPr>
        <w:t>in</w:t>
      </w:r>
      <w:r>
        <w:rPr>
          <w:sz w:val="20"/>
          <w:szCs w:val="20"/>
        </w:rPr>
        <w:t xml:space="preserve"> a range </w:t>
      </w:r>
      <w:r>
        <w:rPr>
          <w:rFonts w:hint="eastAsia"/>
          <w:sz w:val="20"/>
          <w:szCs w:val="20"/>
        </w:rPr>
        <w:t>of</w:t>
      </w:r>
      <w:r>
        <w:rPr>
          <w:sz w:val="20"/>
          <w:szCs w:val="20"/>
        </w:rPr>
        <w:t xml:space="preserve"> 0 </w:t>
      </w:r>
      <w:r>
        <w:rPr>
          <w:rFonts w:hint="eastAsia"/>
          <w:sz w:val="20"/>
          <w:szCs w:val="20"/>
        </w:rPr>
        <w:t>to</w:t>
      </w:r>
      <w:r>
        <w:rPr>
          <w:sz w:val="20"/>
          <w:szCs w:val="20"/>
        </w:rPr>
        <w:t xml:space="preserve"> 1.0. It is noted that </w:t>
      </w:r>
      <m:oMath>
        <m:sSub>
          <m:sSubPr>
            <m:ctrlPr>
              <w:rPr>
                <w:rFonts w:ascii="Cambria Math" w:hAnsi="Cambria Math"/>
                <w:sz w:val="20"/>
                <w:szCs w:val="20"/>
              </w:rPr>
            </m:ctrlPr>
          </m:sSubPr>
          <m:e>
            <m:r>
              <m:rPr>
                <m:sty m:val="p"/>
              </m:rPr>
              <w:rPr>
                <w:rFonts w:hint="eastAsia" w:ascii="Cambria Math" w:hAnsi="Cambria Math"/>
                <w:sz w:val="20"/>
                <w:szCs w:val="20"/>
              </w:rPr>
              <m:t>Φ</m:t>
            </m:r>
            <m:ctrlPr>
              <w:rPr>
                <w:rFonts w:ascii="Cambria Math" w:hAnsi="Cambria Math"/>
                <w:sz w:val="20"/>
                <w:szCs w:val="20"/>
              </w:rPr>
            </m:ctrlPr>
          </m:e>
          <m:sub>
            <m:r>
              <w:rPr>
                <w:rFonts w:hint="eastAsia" w:ascii="Cambria Math" w:hAnsi="Cambria Math"/>
                <w:sz w:val="20"/>
                <w:szCs w:val="20"/>
              </w:rPr>
              <m:t>error</m:t>
            </m:r>
            <m:ctrlPr>
              <w:rPr>
                <w:rFonts w:ascii="Cambria Math" w:hAnsi="Cambria Math"/>
                <w:sz w:val="20"/>
                <w:szCs w:val="20"/>
              </w:rPr>
            </m:ctrlPr>
          </m:sub>
        </m:sSub>
      </m:oMath>
      <w:r>
        <w:rPr>
          <w:sz w:val="20"/>
          <w:szCs w:val="20"/>
        </w:rPr>
        <w:t xml:space="preserve"> values are assumed </w:t>
      </w:r>
      <w:r>
        <w:rPr>
          <w:rFonts w:hint="eastAsia"/>
          <w:sz w:val="20"/>
          <w:szCs w:val="20"/>
        </w:rPr>
        <w:t xml:space="preserve">to independent </w:t>
      </w:r>
      <w:r>
        <w:rPr>
          <w:sz w:val="20"/>
          <w:szCs w:val="20"/>
        </w:rPr>
        <w:t>for each</w:t>
      </w:r>
      <w:r>
        <w:rPr>
          <w:rFonts w:hint="eastAsia"/>
          <w:sz w:val="20"/>
          <w:szCs w:val="20"/>
        </w:rPr>
        <w:t xml:space="preserve"> serving</w:t>
      </w:r>
      <w:r>
        <w:rPr>
          <w:sz w:val="20"/>
          <w:szCs w:val="20"/>
        </w:rPr>
        <w:t xml:space="preserve"> TRP.</w:t>
      </w:r>
    </w:p>
    <w:p>
      <w:pPr>
        <w:autoSpaceDE w:val="0"/>
        <w:autoSpaceDN w:val="0"/>
        <w:adjustRightInd w:val="0"/>
        <w:snapToGrid w:val="0"/>
        <w:spacing w:before="156" w:beforeLines="50" w:after="156" w:afterLines="50"/>
        <w:rPr>
          <w:sz w:val="20"/>
          <w:szCs w:val="20"/>
        </w:rPr>
      </w:pPr>
      <w:r>
        <w:rPr>
          <w:sz w:val="20"/>
          <w:szCs w:val="20"/>
        </w:rPr>
        <w:t>With this</w:t>
      </w:r>
      <w:r>
        <w:rPr>
          <w:rFonts w:hint="eastAsia"/>
          <w:sz w:val="20"/>
          <w:szCs w:val="20"/>
        </w:rPr>
        <w:t xml:space="preserve"> above</w:t>
      </w:r>
      <w:r>
        <w:rPr>
          <w:sz w:val="20"/>
          <w:szCs w:val="20"/>
        </w:rPr>
        <w:t xml:space="preserve"> carrier phase error model, </w:t>
      </w:r>
      <w:r>
        <w:rPr>
          <w:rFonts w:hint="eastAsia"/>
          <w:sz w:val="20"/>
          <w:szCs w:val="20"/>
        </w:rPr>
        <w:t xml:space="preserve">the initial </w:t>
      </w:r>
      <w:r>
        <w:rPr>
          <w:sz w:val="20"/>
          <w:szCs w:val="20"/>
        </w:rPr>
        <w:t>simulation</w:t>
      </w:r>
      <w:r>
        <w:rPr>
          <w:rFonts w:hint="eastAsia"/>
          <w:sz w:val="20"/>
          <w:szCs w:val="20"/>
        </w:rPr>
        <w:t xml:space="preserve"> results are provided in the following figure 1 to show its impact on the positioning accuracy</w:t>
      </w:r>
      <w:r>
        <w:rPr>
          <w:sz w:val="20"/>
          <w:szCs w:val="20"/>
        </w:rPr>
        <w:t>. It can be observed that even the initial random phase</w:t>
      </w:r>
      <w:r>
        <w:rPr>
          <w:rFonts w:hint="eastAsia"/>
          <w:sz w:val="20"/>
          <w:szCs w:val="20"/>
        </w:rPr>
        <w:t xml:space="preserve"> error</w:t>
      </w:r>
      <w:r>
        <w:rPr>
          <w:sz w:val="20"/>
          <w:szCs w:val="20"/>
        </w:rPr>
        <w:t xml:space="preserve"> is limited to 0 ~ 0.001*</w:t>
      </w:r>
      <m:oMath>
        <m:r>
          <w:rPr>
            <w:rFonts w:hint="eastAsia" w:ascii="Cambria Math" w:hAnsi="Cambria Math"/>
            <w:sz w:val="20"/>
            <w:szCs w:val="20"/>
          </w:rPr>
          <m:t>2</m:t>
        </m:r>
        <m:r>
          <m:rPr>
            <m:sty m:val="p"/>
          </m:rPr>
          <w:rPr>
            <w:rFonts w:hint="eastAsia" w:ascii="Cambria Math" w:hAnsi="Cambria Math"/>
            <w:sz w:val="20"/>
            <w:szCs w:val="20"/>
          </w:rPr>
          <m:t>π</m:t>
        </m:r>
      </m:oMath>
      <w:r>
        <w:rPr>
          <w:sz w:val="20"/>
          <w:szCs w:val="20"/>
        </w:rPr>
        <w:t>, the performance is</w:t>
      </w:r>
      <w:r>
        <w:rPr>
          <w:rFonts w:hint="eastAsia"/>
          <w:sz w:val="20"/>
          <w:szCs w:val="20"/>
        </w:rPr>
        <w:t xml:space="preserve"> still</w:t>
      </w:r>
      <w:r>
        <w:rPr>
          <w:sz w:val="20"/>
          <w:szCs w:val="20"/>
        </w:rPr>
        <w:t xml:space="preserve"> degraded significantly (esp., for a large scope of integer for searching).</w:t>
      </w:r>
    </w:p>
    <w:p>
      <w:pPr>
        <w:autoSpaceDE w:val="0"/>
        <w:autoSpaceDN w:val="0"/>
        <w:adjustRightInd w:val="0"/>
        <w:snapToGrid w:val="0"/>
        <w:spacing w:before="156" w:beforeLines="50" w:after="156" w:afterLines="50"/>
        <w:rPr>
          <w:sz w:val="20"/>
          <w:szCs w:val="20"/>
        </w:rPr>
      </w:pPr>
      <w:r>
        <w:rPr>
          <w:b/>
          <w:bCs/>
          <w:sz w:val="20"/>
          <w:szCs w:val="20"/>
        </w:rPr>
        <w:t>Observation 1:</w:t>
      </w:r>
      <w:r>
        <w:rPr>
          <w:rFonts w:hint="eastAsia"/>
          <w:sz w:val="20"/>
          <w:szCs w:val="20"/>
        </w:rPr>
        <w:t xml:space="preserve"> </w:t>
      </w:r>
      <w:r>
        <w:rPr>
          <w:sz w:val="20"/>
          <w:szCs w:val="20"/>
        </w:rPr>
        <w:t>F</w:t>
      </w:r>
      <w:r>
        <w:rPr>
          <w:rFonts w:hint="eastAsia"/>
          <w:sz w:val="20"/>
          <w:szCs w:val="20"/>
        </w:rPr>
        <w:t>or</w:t>
      </w:r>
      <w:r>
        <w:rPr>
          <w:sz w:val="20"/>
          <w:szCs w:val="20"/>
        </w:rPr>
        <w:t xml:space="preserve"> the initial random phase</w:t>
      </w:r>
      <w:r>
        <w:rPr>
          <w:rFonts w:hint="eastAsia"/>
          <w:sz w:val="20"/>
          <w:szCs w:val="20"/>
        </w:rPr>
        <w:t xml:space="preserve"> error</w:t>
      </w:r>
      <w:r>
        <w:rPr>
          <w:sz w:val="20"/>
          <w:szCs w:val="20"/>
        </w:rPr>
        <w:t xml:space="preserve"> is limited to 0 ~ 0.001*</w:t>
      </w:r>
      <m:oMath>
        <m:r>
          <w:rPr>
            <w:rFonts w:ascii="Cambria Math" w:hAnsi="Cambria Math"/>
            <w:sz w:val="20"/>
            <w:szCs w:val="20"/>
          </w:rPr>
          <m:t>2</m:t>
        </m:r>
        <m:r>
          <m:rPr>
            <m:sty m:val="p"/>
          </m:rPr>
          <w:rPr>
            <w:rFonts w:ascii="Cambria Math" w:hAnsi="Cambria Math"/>
            <w:sz w:val="20"/>
            <w:szCs w:val="20"/>
          </w:rPr>
          <m:t>π</m:t>
        </m:r>
      </m:oMath>
      <w:r>
        <w:rPr>
          <w:sz w:val="20"/>
          <w:szCs w:val="20"/>
        </w:rPr>
        <w:t>, the performance is</w:t>
      </w:r>
      <w:r>
        <w:rPr>
          <w:rFonts w:hint="eastAsia"/>
          <w:sz w:val="20"/>
          <w:szCs w:val="20"/>
        </w:rPr>
        <w:t xml:space="preserve"> still</w:t>
      </w:r>
      <w:r>
        <w:rPr>
          <w:sz w:val="20"/>
          <w:szCs w:val="20"/>
        </w:rPr>
        <w:t xml:space="preserve"> degraded significantly (esp., for a large scope of integer for searching).</w:t>
      </w:r>
    </w:p>
    <w:p>
      <w:pPr>
        <w:snapToGrid w:val="0"/>
        <w:rPr>
          <w:sz w:val="20"/>
          <w:szCs w:val="20"/>
        </w:rPr>
      </w:pPr>
    </w:p>
    <w:p>
      <w:pPr>
        <w:autoSpaceDE w:val="0"/>
        <w:autoSpaceDN w:val="0"/>
        <w:adjustRightInd w:val="0"/>
        <w:snapToGrid w:val="0"/>
        <w:spacing w:before="156" w:beforeLines="50" w:after="156" w:afterLines="50"/>
        <w:jc w:val="center"/>
        <w:rPr>
          <w:sz w:val="20"/>
          <w:szCs w:val="20"/>
        </w:rPr>
      </w:pPr>
      <w:r>
        <w:drawing>
          <wp:inline distT="0" distB="0" distL="0" distR="0">
            <wp:extent cx="3317240" cy="2485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18608" cy="2486757"/>
                    </a:xfrm>
                    <a:prstGeom prst="rect">
                      <a:avLst/>
                    </a:prstGeom>
                    <a:noFill/>
                    <a:ln>
                      <a:noFill/>
                    </a:ln>
                  </pic:spPr>
                </pic:pic>
              </a:graphicData>
            </a:graphic>
          </wp:inline>
        </w:drawing>
      </w:r>
    </w:p>
    <w:p>
      <w:pPr>
        <w:autoSpaceDE w:val="0"/>
        <w:autoSpaceDN w:val="0"/>
        <w:adjustRightInd w:val="0"/>
        <w:snapToGrid w:val="0"/>
        <w:spacing w:before="156" w:beforeLines="50" w:after="156" w:afterLines="50"/>
        <w:jc w:val="center"/>
        <w:rPr>
          <w:sz w:val="20"/>
          <w:szCs w:val="20"/>
        </w:rPr>
      </w:pPr>
      <w:r>
        <w:rPr>
          <w:sz w:val="20"/>
          <w:szCs w:val="20"/>
        </w:rPr>
        <w:t xml:space="preserve">Figure </w:t>
      </w:r>
      <w:r>
        <w:rPr>
          <w:rFonts w:hint="eastAsia"/>
          <w:sz w:val="20"/>
          <w:szCs w:val="20"/>
        </w:rPr>
        <w:t>2</w:t>
      </w:r>
      <w:r>
        <w:rPr>
          <w:sz w:val="20"/>
          <w:szCs w:val="20"/>
        </w:rPr>
        <w:t xml:space="preserve">   Positioning accuracy with random phase error at TRPs (with N</w:t>
      </w:r>
      <w:r>
        <w:rPr>
          <w:rFonts w:hint="eastAsia"/>
          <w:sz w:val="20"/>
          <w:szCs w:val="20"/>
        </w:rPr>
        <w:t>±</w:t>
      </w:r>
      <w:r>
        <w:rPr>
          <w:sz w:val="20"/>
          <w:szCs w:val="20"/>
        </w:rPr>
        <w:t>4, no phase calibration, i.e., no PRU)</w:t>
      </w:r>
    </w:p>
    <w:p>
      <w:pPr>
        <w:snapToGrid w:val="0"/>
        <w:spacing w:before="156" w:beforeLines="50" w:after="156" w:afterLines="50"/>
        <w:rPr>
          <w:sz w:val="20"/>
          <w:szCs w:val="20"/>
        </w:rPr>
      </w:pPr>
      <w:r>
        <w:rPr>
          <w:sz w:val="20"/>
          <w:szCs w:val="20"/>
        </w:rPr>
        <w:t>In summary, we have the following proposal.</w:t>
      </w:r>
    </w:p>
    <w:p>
      <w:pPr>
        <w:widowControl/>
        <w:jc w:val="left"/>
      </w:pPr>
      <w:r>
        <w:rPr>
          <w:b/>
          <w:bCs/>
        </w:rPr>
        <w:t>Proposal 1:</w:t>
      </w:r>
      <w:r>
        <w:rPr>
          <w:rFonts w:hint="eastAsia"/>
        </w:rPr>
        <w:t xml:space="preserve"> RAN4 need to study the timing error and phase errors among different TRPs and provide the corresponding feedback to RAN1.</w:t>
      </w:r>
    </w:p>
    <w:bookmarkEnd w:id="1"/>
    <w:bookmarkEnd w:id="2"/>
    <w:bookmarkEnd w:id="3"/>
    <w:bookmarkEnd w:id="4"/>
    <w:p>
      <w:pPr>
        <w:pStyle w:val="52"/>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initial consideration on carrier phase based positioning and proposals are made as following:</w:t>
      </w:r>
    </w:p>
    <w:p>
      <w:pPr>
        <w:widowControl/>
        <w:autoSpaceDE w:val="0"/>
        <w:autoSpaceDN w:val="0"/>
        <w:adjustRightInd w:val="0"/>
        <w:snapToGrid w:val="0"/>
        <w:spacing w:before="156" w:beforeLines="50" w:after="156" w:afterLines="50"/>
        <w:jc w:val="both"/>
      </w:pPr>
      <w:r>
        <w:rPr>
          <w:rFonts w:hint="eastAsia"/>
          <w:b/>
          <w:bCs/>
          <w:sz w:val="20"/>
          <w:szCs w:val="20"/>
        </w:rPr>
        <w:t>Observation 1:</w:t>
      </w:r>
      <w:r>
        <w:rPr>
          <w:rFonts w:hint="eastAsia"/>
          <w:sz w:val="20"/>
          <w:szCs w:val="20"/>
        </w:rPr>
        <w:t xml:space="preserve"> for</w:t>
      </w:r>
      <w:r>
        <w:rPr>
          <w:sz w:val="20"/>
          <w:szCs w:val="20"/>
        </w:rPr>
        <w:t xml:space="preserve"> the initial random phase</w:t>
      </w:r>
      <w:r>
        <w:rPr>
          <w:rFonts w:hint="eastAsia"/>
          <w:sz w:val="20"/>
          <w:szCs w:val="20"/>
        </w:rPr>
        <w:t xml:space="preserve"> error</w:t>
      </w:r>
      <w:r>
        <w:rPr>
          <w:sz w:val="20"/>
          <w:szCs w:val="20"/>
        </w:rPr>
        <w:t xml:space="preserve"> is limited to 0 ~ 0.001*</w:t>
      </w:r>
      <m:oMath>
        <m:r>
          <w:rPr>
            <w:rFonts w:ascii="Cambria Math" w:hAnsi="Cambria Math"/>
            <w:sz w:val="20"/>
            <w:szCs w:val="20"/>
          </w:rPr>
          <m:t>2</m:t>
        </m:r>
        <m:r>
          <m:rPr>
            <m:sty m:val="p"/>
          </m:rPr>
          <w:rPr>
            <w:rFonts w:ascii="Cambria Math" w:hAnsi="Cambria Math"/>
            <w:sz w:val="20"/>
            <w:szCs w:val="20"/>
          </w:rPr>
          <m:t>π</m:t>
        </m:r>
      </m:oMath>
      <w:r>
        <w:rPr>
          <w:sz w:val="20"/>
          <w:szCs w:val="20"/>
        </w:rPr>
        <w:t>, the performance is</w:t>
      </w:r>
      <w:r>
        <w:rPr>
          <w:rFonts w:hint="eastAsia"/>
          <w:sz w:val="20"/>
          <w:szCs w:val="20"/>
        </w:rPr>
        <w:t xml:space="preserve"> still</w:t>
      </w:r>
      <w:r>
        <w:rPr>
          <w:sz w:val="20"/>
          <w:szCs w:val="20"/>
        </w:rPr>
        <w:t xml:space="preserve"> degraded significantly (esp., for a large scope of integer for searching).</w:t>
      </w:r>
    </w:p>
    <w:p>
      <w:pPr>
        <w:widowControl/>
        <w:jc w:val="left"/>
      </w:pPr>
      <w:r>
        <w:rPr>
          <w:rFonts w:hint="eastAsia"/>
        </w:rPr>
        <w:t>Proposal 1: RAN4 need to study the timing error and phase errors among different TRPs and provide the corresponding information to RAN1.</w:t>
      </w:r>
    </w:p>
    <w:p>
      <w:pPr>
        <w:pStyle w:val="52"/>
        <w:tabs>
          <w:tab w:val="left" w:pos="567"/>
          <w:tab w:val="clear" w:pos="1985"/>
        </w:tabs>
        <w:adjustRightInd w:val="0"/>
        <w:ind w:left="510" w:hanging="510"/>
      </w:pPr>
      <w:r>
        <w:t>References</w:t>
      </w:r>
    </w:p>
    <w:p>
      <w:pPr>
        <w:pStyle w:val="50"/>
        <w:numPr>
          <w:ilvl w:val="0"/>
          <w:numId w:val="3"/>
        </w:numPr>
        <w:rPr>
          <w:sz w:val="20"/>
          <w:szCs w:val="20"/>
        </w:rPr>
      </w:pPr>
      <w:r>
        <w:rPr>
          <w:rFonts w:hint="eastAsia"/>
          <w:sz w:val="20"/>
          <w:szCs w:val="20"/>
        </w:rPr>
        <w:t>RP-221814,Study on expanded and improved NR positioning, Intel, approved</w:t>
      </w:r>
    </w:p>
    <w:p>
      <w:pPr>
        <w:pStyle w:val="50"/>
        <w:numPr>
          <w:ilvl w:val="0"/>
          <w:numId w:val="3"/>
        </w:numPr>
        <w:rPr>
          <w:sz w:val="20"/>
          <w:szCs w:val="20"/>
        </w:rPr>
      </w:pPr>
      <w:r>
        <w:rPr>
          <w:rFonts w:hint="eastAsia"/>
          <w:sz w:val="20"/>
          <w:szCs w:val="20"/>
        </w:rPr>
        <w:t>RAN4#104e meeting agenda</w:t>
      </w:r>
    </w:p>
    <w:p>
      <w:p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5D31"/>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5C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4A2B"/>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A86A80"/>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D5BF3"/>
    <w:rsid w:val="022F6559"/>
    <w:rsid w:val="022F66E0"/>
    <w:rsid w:val="0238292F"/>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D06E1"/>
    <w:rsid w:val="03CD6E1F"/>
    <w:rsid w:val="03D4427A"/>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B40DC"/>
    <w:rsid w:val="04D66461"/>
    <w:rsid w:val="051034CD"/>
    <w:rsid w:val="051F43BC"/>
    <w:rsid w:val="052432F7"/>
    <w:rsid w:val="05280A89"/>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B0F6A"/>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F30672"/>
    <w:rsid w:val="06F35A7A"/>
    <w:rsid w:val="06F35AB6"/>
    <w:rsid w:val="06F66B05"/>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B21918"/>
    <w:rsid w:val="08B40442"/>
    <w:rsid w:val="08B94847"/>
    <w:rsid w:val="08C14001"/>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B76EF8"/>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660AAE"/>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0C7624"/>
    <w:rsid w:val="131046DE"/>
    <w:rsid w:val="131B2229"/>
    <w:rsid w:val="131B463A"/>
    <w:rsid w:val="131D12BF"/>
    <w:rsid w:val="131D5DAE"/>
    <w:rsid w:val="13217B01"/>
    <w:rsid w:val="132625C2"/>
    <w:rsid w:val="132A7435"/>
    <w:rsid w:val="13322AD3"/>
    <w:rsid w:val="133B5756"/>
    <w:rsid w:val="135F5E4E"/>
    <w:rsid w:val="137F1B10"/>
    <w:rsid w:val="1382164E"/>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844C56"/>
    <w:rsid w:val="179559A6"/>
    <w:rsid w:val="17957384"/>
    <w:rsid w:val="17A30F12"/>
    <w:rsid w:val="17BA48D6"/>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931E6"/>
    <w:rsid w:val="18FA042B"/>
    <w:rsid w:val="18FE4771"/>
    <w:rsid w:val="19046384"/>
    <w:rsid w:val="1906589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76FD3"/>
    <w:rsid w:val="1FE91483"/>
    <w:rsid w:val="1FED166B"/>
    <w:rsid w:val="1FF05FBA"/>
    <w:rsid w:val="1FF2649D"/>
    <w:rsid w:val="2000119F"/>
    <w:rsid w:val="20007200"/>
    <w:rsid w:val="20023827"/>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9348D"/>
    <w:rsid w:val="20EB3474"/>
    <w:rsid w:val="20EF451E"/>
    <w:rsid w:val="20F667B9"/>
    <w:rsid w:val="20F90A4D"/>
    <w:rsid w:val="20FB7568"/>
    <w:rsid w:val="210D2CDA"/>
    <w:rsid w:val="211C7EF8"/>
    <w:rsid w:val="212F6A59"/>
    <w:rsid w:val="21306305"/>
    <w:rsid w:val="213D54AD"/>
    <w:rsid w:val="214169BB"/>
    <w:rsid w:val="2144141D"/>
    <w:rsid w:val="214F4863"/>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F54612"/>
    <w:rsid w:val="21FF71D8"/>
    <w:rsid w:val="22021B37"/>
    <w:rsid w:val="2209399D"/>
    <w:rsid w:val="22101F8E"/>
    <w:rsid w:val="221E498F"/>
    <w:rsid w:val="2225227E"/>
    <w:rsid w:val="22315922"/>
    <w:rsid w:val="22343124"/>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E7AA0"/>
    <w:rsid w:val="232F4B8E"/>
    <w:rsid w:val="233027B0"/>
    <w:rsid w:val="23415924"/>
    <w:rsid w:val="2343476E"/>
    <w:rsid w:val="23566DDF"/>
    <w:rsid w:val="23572E7E"/>
    <w:rsid w:val="235924CA"/>
    <w:rsid w:val="23592D87"/>
    <w:rsid w:val="235F162F"/>
    <w:rsid w:val="23673863"/>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9404D"/>
    <w:rsid w:val="26CD53A8"/>
    <w:rsid w:val="26D323BB"/>
    <w:rsid w:val="26D45590"/>
    <w:rsid w:val="26F40E3F"/>
    <w:rsid w:val="26F40EBD"/>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B02558"/>
    <w:rsid w:val="27B03EC1"/>
    <w:rsid w:val="27B91021"/>
    <w:rsid w:val="27C06D17"/>
    <w:rsid w:val="27C66099"/>
    <w:rsid w:val="27CA7CDA"/>
    <w:rsid w:val="27FE4240"/>
    <w:rsid w:val="280008FF"/>
    <w:rsid w:val="28050D91"/>
    <w:rsid w:val="281035C6"/>
    <w:rsid w:val="28140E2A"/>
    <w:rsid w:val="28255041"/>
    <w:rsid w:val="283A1E3E"/>
    <w:rsid w:val="284543A1"/>
    <w:rsid w:val="28553E1D"/>
    <w:rsid w:val="286B3B61"/>
    <w:rsid w:val="28765DD5"/>
    <w:rsid w:val="28821314"/>
    <w:rsid w:val="2891501A"/>
    <w:rsid w:val="28937E6D"/>
    <w:rsid w:val="28A66523"/>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90FE7"/>
    <w:rsid w:val="2E2630D7"/>
    <w:rsid w:val="2E2806DD"/>
    <w:rsid w:val="2E2A4425"/>
    <w:rsid w:val="2E2F3046"/>
    <w:rsid w:val="2E302808"/>
    <w:rsid w:val="2E3A3030"/>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95633"/>
    <w:rsid w:val="30010F70"/>
    <w:rsid w:val="300F7F13"/>
    <w:rsid w:val="30151A88"/>
    <w:rsid w:val="301E3C00"/>
    <w:rsid w:val="302757BF"/>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84385"/>
    <w:rsid w:val="315D7DEC"/>
    <w:rsid w:val="31647576"/>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666821"/>
    <w:rsid w:val="326718A4"/>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B37C6"/>
    <w:rsid w:val="331C390F"/>
    <w:rsid w:val="333A0536"/>
    <w:rsid w:val="333E0FE1"/>
    <w:rsid w:val="334D7767"/>
    <w:rsid w:val="33610DDA"/>
    <w:rsid w:val="3362171F"/>
    <w:rsid w:val="3366319E"/>
    <w:rsid w:val="336C2B69"/>
    <w:rsid w:val="33767D1F"/>
    <w:rsid w:val="337F446B"/>
    <w:rsid w:val="338E29B0"/>
    <w:rsid w:val="339902E6"/>
    <w:rsid w:val="339D35FC"/>
    <w:rsid w:val="33A156DE"/>
    <w:rsid w:val="33B52233"/>
    <w:rsid w:val="33B70359"/>
    <w:rsid w:val="33BA1B32"/>
    <w:rsid w:val="33CB205A"/>
    <w:rsid w:val="33D451B9"/>
    <w:rsid w:val="33E20DF0"/>
    <w:rsid w:val="33E570DD"/>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A1921"/>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575BE5"/>
    <w:rsid w:val="3A616CAD"/>
    <w:rsid w:val="3A711C68"/>
    <w:rsid w:val="3A7927E8"/>
    <w:rsid w:val="3A796E46"/>
    <w:rsid w:val="3A8B3C77"/>
    <w:rsid w:val="3A971F5B"/>
    <w:rsid w:val="3A9A224E"/>
    <w:rsid w:val="3A9C1F8C"/>
    <w:rsid w:val="3A9D2551"/>
    <w:rsid w:val="3AA15A8E"/>
    <w:rsid w:val="3AA90278"/>
    <w:rsid w:val="3AA97F70"/>
    <w:rsid w:val="3AB26A14"/>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C2663"/>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33D0C"/>
    <w:rsid w:val="3D272F24"/>
    <w:rsid w:val="3D47670E"/>
    <w:rsid w:val="3D4D7CF8"/>
    <w:rsid w:val="3D58163A"/>
    <w:rsid w:val="3D5A05E2"/>
    <w:rsid w:val="3D5C63D4"/>
    <w:rsid w:val="3D5E50E6"/>
    <w:rsid w:val="3D5F6029"/>
    <w:rsid w:val="3D6223C0"/>
    <w:rsid w:val="3D641D7A"/>
    <w:rsid w:val="3D7618FA"/>
    <w:rsid w:val="3D766E42"/>
    <w:rsid w:val="3D791797"/>
    <w:rsid w:val="3D832B00"/>
    <w:rsid w:val="3D8522AA"/>
    <w:rsid w:val="3D8A0C19"/>
    <w:rsid w:val="3D9816B4"/>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671CD"/>
    <w:rsid w:val="3EE14A57"/>
    <w:rsid w:val="3EE21263"/>
    <w:rsid w:val="3EF36AD8"/>
    <w:rsid w:val="3EF62480"/>
    <w:rsid w:val="3EFB57DC"/>
    <w:rsid w:val="3F0572F1"/>
    <w:rsid w:val="3F144192"/>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E210C1"/>
    <w:rsid w:val="3FEB1C22"/>
    <w:rsid w:val="3FEE2117"/>
    <w:rsid w:val="3FFA5C63"/>
    <w:rsid w:val="40073561"/>
    <w:rsid w:val="400A1CFC"/>
    <w:rsid w:val="401D6DEE"/>
    <w:rsid w:val="40372C35"/>
    <w:rsid w:val="403870E4"/>
    <w:rsid w:val="403D7C5C"/>
    <w:rsid w:val="40400533"/>
    <w:rsid w:val="4049754C"/>
    <w:rsid w:val="404B2521"/>
    <w:rsid w:val="40572DA6"/>
    <w:rsid w:val="405A424E"/>
    <w:rsid w:val="406D461C"/>
    <w:rsid w:val="406F7D87"/>
    <w:rsid w:val="40825FDB"/>
    <w:rsid w:val="40836EAD"/>
    <w:rsid w:val="40907287"/>
    <w:rsid w:val="409238F2"/>
    <w:rsid w:val="40953EC0"/>
    <w:rsid w:val="40AB3054"/>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75D5"/>
    <w:rsid w:val="430A5FFD"/>
    <w:rsid w:val="43112BE5"/>
    <w:rsid w:val="431B56C6"/>
    <w:rsid w:val="431C7B04"/>
    <w:rsid w:val="432466AA"/>
    <w:rsid w:val="432E5E21"/>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43057"/>
    <w:rsid w:val="44C87C0F"/>
    <w:rsid w:val="44DF6F1B"/>
    <w:rsid w:val="44E54BDC"/>
    <w:rsid w:val="44E92DF3"/>
    <w:rsid w:val="44F82D0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315CE"/>
    <w:rsid w:val="45B64B84"/>
    <w:rsid w:val="45E37678"/>
    <w:rsid w:val="45E526A6"/>
    <w:rsid w:val="45E66893"/>
    <w:rsid w:val="45E826B2"/>
    <w:rsid w:val="45F4334C"/>
    <w:rsid w:val="460D3781"/>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A1593"/>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6C4B60"/>
    <w:rsid w:val="4D705706"/>
    <w:rsid w:val="4D7220A0"/>
    <w:rsid w:val="4D76173E"/>
    <w:rsid w:val="4D8A58C0"/>
    <w:rsid w:val="4D8D11C1"/>
    <w:rsid w:val="4D922BF5"/>
    <w:rsid w:val="4D9B5A29"/>
    <w:rsid w:val="4DA53BC8"/>
    <w:rsid w:val="4DB41824"/>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A106E5"/>
    <w:rsid w:val="53A27D95"/>
    <w:rsid w:val="53A3255B"/>
    <w:rsid w:val="53A911A1"/>
    <w:rsid w:val="53DB35A3"/>
    <w:rsid w:val="53DC2808"/>
    <w:rsid w:val="53DF54A9"/>
    <w:rsid w:val="53E07B00"/>
    <w:rsid w:val="53E27BE1"/>
    <w:rsid w:val="53F90D34"/>
    <w:rsid w:val="54002BFD"/>
    <w:rsid w:val="541942B6"/>
    <w:rsid w:val="542A3FEF"/>
    <w:rsid w:val="542A5504"/>
    <w:rsid w:val="542F7A60"/>
    <w:rsid w:val="54346136"/>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153B58"/>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9148CE"/>
    <w:rsid w:val="59A22883"/>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F76C1"/>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A65080"/>
    <w:rsid w:val="5BB214B7"/>
    <w:rsid w:val="5BB576AD"/>
    <w:rsid w:val="5BBE6EBD"/>
    <w:rsid w:val="5BC02787"/>
    <w:rsid w:val="5BC52B9A"/>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BF4297"/>
    <w:rsid w:val="5CC43404"/>
    <w:rsid w:val="5CC93DAE"/>
    <w:rsid w:val="5CD31EE3"/>
    <w:rsid w:val="5CE1654F"/>
    <w:rsid w:val="5CE47CF9"/>
    <w:rsid w:val="5CEB1D70"/>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F0687"/>
    <w:rsid w:val="5E680BE8"/>
    <w:rsid w:val="5E6B7FF0"/>
    <w:rsid w:val="5E783202"/>
    <w:rsid w:val="5E7842EE"/>
    <w:rsid w:val="5E803D55"/>
    <w:rsid w:val="5E854DAE"/>
    <w:rsid w:val="5EA36A9B"/>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A85CD1"/>
    <w:rsid w:val="63AB2A39"/>
    <w:rsid w:val="63B02C42"/>
    <w:rsid w:val="63C51AD9"/>
    <w:rsid w:val="63C54411"/>
    <w:rsid w:val="63C733FE"/>
    <w:rsid w:val="63CD27C8"/>
    <w:rsid w:val="63CF2629"/>
    <w:rsid w:val="63D40E51"/>
    <w:rsid w:val="63D85FCA"/>
    <w:rsid w:val="63E263F4"/>
    <w:rsid w:val="63E418C9"/>
    <w:rsid w:val="63FD7654"/>
    <w:rsid w:val="640C2BB6"/>
    <w:rsid w:val="6411454E"/>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0F9"/>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A17FE"/>
    <w:rsid w:val="6768655A"/>
    <w:rsid w:val="676E1585"/>
    <w:rsid w:val="67775952"/>
    <w:rsid w:val="677E2FA1"/>
    <w:rsid w:val="67836FB1"/>
    <w:rsid w:val="678A12A7"/>
    <w:rsid w:val="678A44B2"/>
    <w:rsid w:val="678C1D52"/>
    <w:rsid w:val="678D19D7"/>
    <w:rsid w:val="67973403"/>
    <w:rsid w:val="67A67078"/>
    <w:rsid w:val="67AC341B"/>
    <w:rsid w:val="67B10069"/>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0D6D19"/>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E384D"/>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B45F5"/>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A71C2E"/>
    <w:rsid w:val="79A74BCA"/>
    <w:rsid w:val="79AE39E9"/>
    <w:rsid w:val="79BD3E41"/>
    <w:rsid w:val="79BF2784"/>
    <w:rsid w:val="79C0597A"/>
    <w:rsid w:val="79C24EDF"/>
    <w:rsid w:val="79C95AED"/>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DC009C"/>
    <w:rsid w:val="7BDE0174"/>
    <w:rsid w:val="7BDF18E6"/>
    <w:rsid w:val="7BE131F6"/>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31756"/>
    <w:rsid w:val="7C8C4CAB"/>
    <w:rsid w:val="7C982736"/>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83"/>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0343B-4465-4C75-8D95-8828ACE8B25C}">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1540</Words>
  <Characters>8784</Characters>
  <Lines>73</Lines>
  <Paragraphs>20</Paragraphs>
  <TotalTime>0</TotalTime>
  <ScaleCrop>false</ScaleCrop>
  <LinksUpToDate>false</LinksUpToDate>
  <CharactersWithSpaces>10304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2022-08-10T15:38:28Z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